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[I128-1941] Новый формат библиографических записей (JSON) для использования на порталах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b3d9eaaefc8a151db20c0e00ad3dff8d28102c9"/>
    <w:p>
      <w:pPr>
        <w:pStyle w:val="Heading1"/>
      </w:pPr>
      <w:r>
        <w:t xml:space="preserve">[I128-1941] Новый формат библиографических записей (JSON) для использования на порталах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Пример возврата: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“brief”</w:t>
      </w:r>
      <w:r>
        <w:t xml:space="preserve">:</w:t>
      </w:r>
      <w:r>
        <w:t xml:space="preserve">“Колисниченко, Денис Николаевич. Android для пользователя : полезные программы и советы / Денис Колисниченко, 2013. - 254 с.”</w:t>
      </w:r>
      <w:r>
        <w:t xml:space="preserve">, // Краткое библиографическое описание</w:t>
      </w:r>
      <w:r>
        <w:t xml:space="preserve"> </w:t>
      </w:r>
      <w:r>
        <w:t xml:space="preserve">“examplarInfo”</w:t>
      </w:r>
      <w:r>
        <w:t xml:space="preserve">:[ // Информация об экземплярах (результат RQST::GetExemplarsInfo(…))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</w:t>
      </w:r>
      <w:r>
        <w:t xml:space="preserve">“ХР”</w:t>
      </w:r>
      <w:r>
        <w:t xml:space="preserve"> </w:t>
      </w:r>
      <w:r>
        <w:t xml:space="preserve">},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:null</w:t>
      </w:r>
      <w:r>
        <w:t xml:space="preserve"> </w:t>
      </w:r>
      <w:r>
        <w:t xml:space="preserve">}</w:t>
      </w:r>
      <w:r>
        <w:t xml:space="preserve"> </w:t>
      </w:r>
      <w:r>
        <w:t xml:space="preserve">],</w:t>
      </w:r>
      <w:r>
        <w:t xml:space="preserve"> </w:t>
      </w:r>
      <w:r>
        <w:t xml:space="preserve">“title”</w:t>
      </w:r>
      <w:r>
        <w:t xml:space="preserve">:</w:t>
      </w:r>
      <w:r>
        <w:t xml:space="preserve">“Android для пользователя : полезные программы и советы”</w:t>
      </w:r>
      <w:r>
        <w:t xml:space="preserve">, // Заглавие</w:t>
      </w:r>
      <w:r>
        <w:t xml:space="preserve"> </w:t>
      </w:r>
      <w:r>
        <w:t xml:space="preserve">“interestingArticles”</w:t>
      </w:r>
      <w:r>
        <w:t xml:space="preserve">:“</w:t>
      </w:r>
      <w:r>
        <w:t xml:space="preserve">“, // Интересные статьи”</w:t>
      </w:r>
      <w:r>
        <w:t xml:space="preserve">onTabs”:“</w:t>
      </w:r>
      <w:r>
        <w:t xml:space="preserve">“, // На вкладках…”</w:t>
      </w:r>
      <w:r>
        <w:t xml:space="preserve">documentType”:</w:t>
      </w:r>
      <w:r>
        <w:t xml:space="preserve">“Однотомное издание”</w:t>
      </w:r>
      <w:r>
        <w:t xml:space="preserve">, // Тип документа</w:t>
      </w:r>
      <w:r>
        <w:t xml:space="preserve"> </w:t>
      </w:r>
      <w:r>
        <w:t xml:space="preserve">“publicationCode”</w:t>
      </w:r>
      <w:r>
        <w:t xml:space="preserve">:</w:t>
      </w:r>
      <w:r>
        <w:t xml:space="preserve">“004.4/К 60-460343092”</w:t>
      </w:r>
      <w:r>
        <w:t xml:space="preserve">, // Шифр издания</w:t>
      </w:r>
      <w:r>
        <w:t xml:space="preserve"> </w:t>
      </w:r>
      <w:r>
        <w:t xml:space="preserve">“authors”</w:t>
      </w:r>
      <w:r>
        <w:t xml:space="preserve">:</w:t>
      </w:r>
      <w:r>
        <w:t xml:space="preserve">“Колисниченко, Денис Николаевич”</w:t>
      </w:r>
      <w:r>
        <w:t xml:space="preserve">, // Автор(ы)</w:t>
      </w:r>
      <w:r>
        <w:t xml:space="preserve"> </w:t>
      </w:r>
      <w:r>
        <w:t xml:space="preserve">“unifiedFormHeader”</w:t>
      </w:r>
      <w:r>
        <w:t xml:space="preserve">:“</w:t>
      </w:r>
      <w:r>
        <w:t xml:space="preserve">“, // Унифицированный заголовок формы”</w:t>
      </w:r>
      <w:r>
        <w:t xml:space="preserve">parallelTitles”:“</w:t>
      </w:r>
      <w:r>
        <w:t xml:space="preserve">“, // Параллельные заглавия”</w:t>
      </w:r>
      <w:r>
        <w:t xml:space="preserve">transliteratedTitle”:“</w:t>
      </w:r>
      <w:r>
        <w:t xml:space="preserve">“, // Транслитерированное заглавие”</w:t>
      </w:r>
      <w:r>
        <w:t xml:space="preserve">imprint”:</w:t>
      </w:r>
      <w:r>
        <w:t xml:space="preserve">“Санкт</w:t>
      </w:r>
      <w:r>
        <w:rPr>
          <w:strike/>
        </w:rPr>
        <w:t xml:space="preserve">Петербург: БХВ</w:t>
      </w:r>
      <w:r>
        <w:t xml:space="preserve">Петербург, 2013”</w:t>
      </w:r>
      <w:r>
        <w:t xml:space="preserve">, // Выходные данные</w:t>
      </w:r>
      <w:r>
        <w:t xml:space="preserve"> </w:t>
      </w:r>
      <w:r>
        <w:t xml:space="preserve">“quantitativeCharacteristics”</w:t>
      </w:r>
      <w:r>
        <w:t xml:space="preserve">:</w:t>
      </w:r>
      <w:r>
        <w:t xml:space="preserve">“254 с.: ил + 24 см”</w:t>
      </w:r>
      <w:r>
        <w:t xml:space="preserve">, // Количественные характеристики</w:t>
      </w:r>
      <w:r>
        <w:t xml:space="preserve"> </w:t>
      </w:r>
      <w:r>
        <w:t xml:space="preserve">“teams”</w:t>
      </w:r>
      <w:r>
        <w:t xml:space="preserve">:“</w:t>
      </w:r>
      <w:r>
        <w:t xml:space="preserve">“, // Коллективы”</w:t>
      </w:r>
      <w:r>
        <w:t xml:space="preserve">series”:“</w:t>
      </w:r>
      <w:r>
        <w:t xml:space="preserve">“, // Серия”</w:t>
      </w:r>
      <w:r>
        <w:t xml:space="preserve">misreadTitles”:“</w:t>
      </w:r>
      <w:r>
        <w:t xml:space="preserve">“, // Разночтения заглавия”</w:t>
      </w:r>
      <w:r>
        <w:t xml:space="preserve">translationOfThePublication”:“</w:t>
      </w:r>
      <w:r>
        <w:t xml:space="preserve">“, // Перевод издания”</w:t>
      </w:r>
      <w:r>
        <w:t xml:space="preserve">parallelEditions”:“</w:t>
      </w:r>
      <w:r>
        <w:t xml:space="preserve">“, // Параллельные издания”</w:t>
      </w:r>
      <w:r>
        <w:t xml:space="preserve">braided”:“</w:t>
      </w:r>
      <w:r>
        <w:t xml:space="preserve">“, // Приплетено”</w:t>
      </w:r>
      <w:r>
        <w:t xml:space="preserve">placeOfPublication”:“</w:t>
      </w:r>
      <w:r>
        <w:t xml:space="preserve">“, // Место публикации”</w:t>
      </w:r>
      <w:r>
        <w:t xml:space="preserve">typeAndVolumeOfResource”:“</w:t>
      </w:r>
      <w:r>
        <w:t xml:space="preserve">“, // Вид и объем ресурса”</w:t>
      </w:r>
      <w:r>
        <w:t xml:space="preserve">systemRequirements”:“</w:t>
      </w:r>
      <w:r>
        <w:t xml:space="preserve">“, // Системные требования”</w:t>
      </w:r>
      <w:r>
        <w:t xml:space="preserve">notes”:</w:t>
      </w:r>
      <w:r>
        <w:t xml:space="preserve">“Указ.”</w:t>
      </w:r>
      <w:r>
        <w:t xml:space="preserve">, // Примечания</w:t>
      </w:r>
      <w:r>
        <w:t xml:space="preserve"> </w:t>
      </w:r>
      <w:r>
        <w:t xml:space="preserve">“issn”</w:t>
      </w:r>
      <w:r>
        <w:t xml:space="preserve">:“</w:t>
      </w:r>
      <w:r>
        <w:t xml:space="preserve">“, // ISSN”</w:t>
      </w:r>
      <w:r>
        <w:t xml:space="preserve">isbn”:</w:t>
      </w:r>
      <w:r>
        <w:t xml:space="preserve">“978</w:t>
      </w:r>
      <w:r>
        <w:rPr>
          <w:strike/>
        </w:rPr>
        <w:t xml:space="preserve">5</w:t>
      </w:r>
      <w:r>
        <w:t xml:space="preserve">9775</w:t>
      </w:r>
      <w:r>
        <w:rPr>
          <w:strike/>
        </w:rPr>
        <w:t xml:space="preserve">06 80</w:t>
      </w:r>
      <w:r>
        <w:t xml:space="preserve">9: 130.50 р.”</w:t>
      </w:r>
      <w:r>
        <w:t xml:space="preserve">, // ISBN</w:t>
      </w:r>
      <w:r>
        <w:t xml:space="preserve"> </w:t>
      </w:r>
      <w:r>
        <w:t xml:space="preserve">“identificationNumber”</w:t>
      </w:r>
      <w:r>
        <w:t xml:space="preserve">:“</w:t>
      </w:r>
      <w:r>
        <w:t xml:space="preserve">“, // Идентификационный номер”</w:t>
      </w:r>
      <w:r>
        <w:t xml:space="preserve">grnti”:</w:t>
      </w:r>
      <w:r>
        <w:t xml:space="preserve">“20.53.31”</w:t>
      </w:r>
      <w:r>
        <w:t xml:space="preserve">, // ГРНТИ</w:t>
      </w:r>
      <w:r>
        <w:t xml:space="preserve"> </w:t>
      </w:r>
      <w:r>
        <w:t xml:space="preserve">“udc”</w:t>
      </w:r>
      <w:r>
        <w:t xml:space="preserve">:</w:t>
      </w:r>
      <w:r>
        <w:t xml:space="preserve">“004.4”</w:t>
      </w:r>
      <w:r>
        <w:t xml:space="preserve">, // УДК</w:t>
      </w:r>
      <w:r>
        <w:t xml:space="preserve"> </w:t>
      </w:r>
      <w:r>
        <w:t xml:space="preserve">“bbk”</w:t>
      </w:r>
      <w:r>
        <w:t xml:space="preserve">:</w:t>
      </w:r>
      <w:r>
        <w:t xml:space="preserve">“З884.16</w:t>
      </w:r>
      <w:r>
        <w:rPr>
          <w:strike/>
        </w:rPr>
        <w:t xml:space="preserve">56</w:t>
      </w:r>
      <w:r>
        <w:t xml:space="preserve">05,0”</w:t>
      </w:r>
      <w:r>
        <w:t xml:space="preserve">, // ББК</w:t>
      </w:r>
      <w:r>
        <w:t xml:space="preserve"> </w:t>
      </w:r>
      <w:r>
        <w:t xml:space="preserve">“subjectHeadings”</w:t>
      </w:r>
      <w:r>
        <w:t xml:space="preserve">:</w:t>
      </w:r>
      <w:r>
        <w:t xml:space="preserve">“Радиоэлектроника</w:t>
      </w:r>
      <w:r>
        <w:t xml:space="preserve"> </w:t>
      </w:r>
      <w:r>
        <w:rPr>
          <w:strike/>
        </w:rPr>
        <w:t xml:space="preserve">- Электрическая связь -</w:t>
      </w:r>
      <w:r>
        <w:t xml:space="preserve"> </w:t>
      </w:r>
      <w:r>
        <w:t xml:space="preserve">Радиосвязь</w:t>
      </w:r>
      <w:r>
        <w:t xml:space="preserve"> </w:t>
      </w:r>
      <w:r>
        <w:rPr>
          <w:strike/>
        </w:rPr>
        <w:t xml:space="preserve">- Радиотелефонная связь; Мобильная связь -</w:t>
      </w:r>
      <w:r>
        <w:t xml:space="preserve"> </w:t>
      </w:r>
      <w:r>
        <w:t xml:space="preserve">Радиотелефоны; Вычислительная техника</w:t>
      </w:r>
      <w:r>
        <w:t xml:space="preserve"> </w:t>
      </w:r>
      <w:r>
        <w:rPr>
          <w:strike/>
        </w:rPr>
        <w:t xml:space="preserve">- Вычислительные машины электронные цифровые -</w:t>
      </w:r>
      <w:r>
        <w:t xml:space="preserve"> </w:t>
      </w:r>
      <w:r>
        <w:t xml:space="preserve">Автоматическая обработка информации; ANDROID, операционная система – Программирование”</w:t>
      </w:r>
      <w:r>
        <w:t xml:space="preserve">, // // Предметные рубрики</w:t>
      </w:r>
      <w:r>
        <w:t xml:space="preserve"> </w:t>
      </w:r>
      <w:r>
        <w:t xml:space="preserve">“meshMain”</w:t>
      </w:r>
      <w:r>
        <w:t xml:space="preserve">:“</w:t>
      </w:r>
      <w:r>
        <w:t xml:space="preserve">“, // MeSH-главная”</w:t>
      </w:r>
      <w:r>
        <w:t xml:space="preserve">meshNonMain”:“</w:t>
      </w:r>
      <w:r>
        <w:t xml:space="preserve">“, // MeSH-неглавная”</w:t>
      </w:r>
      <w:r>
        <w:t xml:space="preserve">geographicalHeadings”:“</w:t>
      </w:r>
      <w:r>
        <w:t xml:space="preserve">“, // Географические рубрики”</w:t>
      </w:r>
      <w:r>
        <w:t xml:space="preserve">descriptor”:“</w:t>
      </w:r>
      <w:r>
        <w:t xml:space="preserve">“, // Дескрипторы”</w:t>
      </w:r>
      <w:r>
        <w:t xml:space="preserve">keywords”:“</w:t>
      </w:r>
      <w:r>
        <w:t xml:space="preserve">“, // Ключевые слова”</w:t>
      </w:r>
      <w:r>
        <w:t xml:space="preserve">content”:“</w:t>
      </w:r>
      <w:r>
        <w:t xml:space="preserve">“, // Содержание”</w:t>
      </w:r>
      <w:r>
        <w:t xml:space="preserve">annotation”:“</w:t>
      </w:r>
      <w:r>
        <w:t xml:space="preserve">“, // Аннотация”</w:t>
      </w:r>
      <w:r>
        <w:t xml:space="preserve">receiptsRegistered”:“</w:t>
      </w:r>
      <w:r>
        <w:t xml:space="preserve">“, // Зарегистрированы поступления”</w:t>
      </w:r>
      <w:r>
        <w:t xml:space="preserve">thePublicationCanBeFoundIn”:“</w:t>
      </w:r>
      <w:r>
        <w:t xml:space="preserve">“, // Издание можно найти в…”</w:t>
      </w:r>
      <w:r>
        <w:t xml:space="preserve">url”:[ // Внешние объекты (поле 951</w:t>
      </w:r>
      <w:r>
        <w:t xml:space="preserve"> </w:t>
      </w:r>
      <w:r>
        <w:t xml:space="preserve">“как есть”</w:t>
      </w:r>
      <w:r>
        <w:t xml:space="preserve">. Каждый элемент - подполе. Интернет-ссылка на документ содержится в подполе I)</w:t>
      </w:r>
      <w:r>
        <w:t xml:space="preserve"> </w:t>
      </w:r>
      <w:r>
        <w:t xml:space="preserve">{</w:t>
      </w:r>
      <w:r>
        <w:t xml:space="preserve"> </w:t>
      </w:r>
      <w:r>
        <w:t xml:space="preserve">“*</w:t>
      </w:r>
      <w:r>
        <w:t xml:space="preserve">“:”</w:t>
      </w:r>
      <w:r>
        <w:t xml:space="preserve">“,”</w:t>
      </w:r>
      <w:r>
        <w:t xml:space="preserve">A”:</w:t>
      </w:r>
      <w:r>
        <w:t xml:space="preserve">“Пример PDF-файла.pdf”</w:t>
      </w:r>
      <w:r>
        <w:t xml:space="preserve">,</w:t>
      </w:r>
      <w:r>
        <w:t xml:space="preserve"> </w:t>
      </w:r>
      <w:r>
        <w:t xml:space="preserve">“T”</w:t>
      </w:r>
      <w:r>
        <w:t xml:space="preserve">:</w:t>
      </w:r>
      <w:r>
        <w:t xml:space="preserve">“Пример PDF-файла”</w:t>
      </w:r>
      <w:r>
        <w:t xml:space="preserve">,</w:t>
      </w:r>
      <w:r>
        <w:t xml:space="preserve"> </w:t>
      </w:r>
      <w:r>
        <w:t xml:space="preserve">“N”</w:t>
      </w:r>
      <w:r>
        <w:t xml:space="preserve">:</w:t>
      </w:r>
      <w:r>
        <w:t xml:space="preserve">“14”</w:t>
      </w:r>
      <w:r>
        <w:t xml:space="preserve"> </w:t>
      </w:r>
      <w:r>
        <w:t xml:space="preserve">}</w:t>
      </w:r>
      <w:r>
        <w:t xml:space="preserve"> </w:t>
      </w:r>
      <w:r>
        <w:t xml:space="preserve">]</w:t>
      </w:r>
      <w:r>
        <w:t xml:space="preserve"> </w:t>
      </w:r>
      <w:r>
        <w:t xml:space="preserve">}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2"/>
    <w:p>
      <w:pPr>
        <w:pStyle w:val="Heading3"/>
      </w:pPr>
      <w:r>
        <w:t xml:space="preserve">1.1. 🔗 blocks: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943"/>
    <w:p>
      <w:pPr>
        <w:pStyle w:val="Heading3"/>
      </w:pPr>
      <w:r>
        <w:t xml:space="preserve">1.2. 🔗 blocks: I128-1943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47"/>
    <w:p>
      <w:pPr>
        <w:pStyle w:val="Heading3"/>
      </w:pPr>
      <w:r>
        <w:t xml:space="preserve">1.3. 🔗 Соответствует задача: I128-1947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[I128-1947]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соответствует-задача-i128-2185"/>
    <w:p>
      <w:pPr>
        <w:pStyle w:val="Heading3"/>
      </w:pPr>
      <w:r>
        <w:t xml:space="preserve">1.4. 🔗 Соответствует задача: I128-2185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[I128-2185]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[I128-1941] Новый формат библиографических записей (JSON) для использования на порталах</dc:title>
  <dc:creator/>
  <cp:keywords/>
  <dcterms:created xsi:type="dcterms:W3CDTF">2026-09-09T06:10:57Z</dcterms:created>
  <dcterms:modified xsi:type="dcterms:W3CDTF">2026-09-09T06:10:57Z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